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ACORDO DE CONFIDENCIALIDADE E PRIVACIDADE DE DADOS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ACORDO DE CONFIDENCIALIDADE E PRIVACIDADE DE DADOS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>
      <w:pPr/>
      <w:r>
        <w:rPr/>
        <w:t xml:space="preserve">Em tempos onde encontramos todo tipo de informação disponível da internet, o cuidado com a segurança de dados se torna ainda mais importante. Não só as pessoas, mas também as empresas têm olhado com cada vez mais cuidado para as questões de privacidade. </w:t>
      </w:r>
    </w:p>
    <w:p>
      <w:pPr/>
      <w:r>
        <w:rPr/>
        <w:t xml:space="preserve">Focando mais especificamente no meio corporativo, a gente sabe bem que o vazamento de informações estratégicas podem prejudicar — e muito — o negócio. Portanto, é interessante se cercar dos cuidados necessários, como usar o termo de confidencialidade. </w:t>
      </w:r>
    </w:p>
    <w:p>
      <w:pPr/>
      <w:r>
        <w:rPr/>
        <w:t xml:space="preserve">Você já ouviu falar sobre esse documento? Sabe qual a sua função e quais os benefícios ele traz na segurança das suas informações? Se ainda não, chegou a hora de conhecer mais sobre ele. Vamos lá?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