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sdfgsdfgsdfgsd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sdfgsdfgsdfgs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June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rafael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rafael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sdfgsdfgsdfgsdfgsdfg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sdfgdsgsdfgsdfgsd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CNJP que devem ser representados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sdfgsdffgsdfgsdfgsd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sdfgsdfgsdfgs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18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R$ 250.00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R$ 5.586,78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sdfgsdfsdfgsdfgsdfg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01 de June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